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SchfHwG — Waisengeld</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Die Kinder von verstorbenen Versorgungsberechtigten oder verstorbenen Versorgungsempfängern nach § 37 oder § 38 erhalten Waisengeld. Ein Anspruch auf Waisengeld besteht nicht, wenn die Waise erst nach Erreichung der Regelaltersgrenze in der gesetzlichen Rentenversicherung als Kind angenommen worden ist.</w:t>
      </w:r>
    </w:p>
    <w:p>
      <w:r>
        <w:t xml:space="preserve">(2) Das Waisengeld beträgt bei Halbwaisen von Versorgungsempfängern 20 Prozent, bei Vollwaisen 40 Prozent des Ruhegeldes oder des Ruhegeldes bei Berufsunfähigkeit. Das Waisengeld beträgt bei Halbwaisen von Versorgungsberechtigten jährlich 0,3 Prozent des entsprechend § 27 Absatz 4 angepassten Jahreshöchstbetrages für jedes mit Beiträgen belegte Jahr, mindestens jedoch 6,3 Prozent des Jahreshöchstbetrages, bei Vollwaisen das Doppelte; § 37 Absatz 7 und § 38 Absatz 1 Nummer 2 sind entsprechend anzuwenden.</w:t>
      </w:r>
    </w:p>
    <w:p>
      <w:r>
        <w:t xml:space="preserve">(3) Der Anspruch auf Waisengeld entsteht mit Beginn des Monats, der dem Sterbemonat folgt, für nachgeborene Waisen mit dem ersten Tag des Geburtsmonats.</w:t>
      </w:r>
    </w:p>
    <w:p>
      <w:r>
        <w:t xml:space="preserve">(4) Für das Erlöschen des Anspruchs auf Waisengeld ist § 48 Absatz 4 und 5 des Sechsten Buches Sozialgesetzbuch mit der Maßgabe entsprechend anzuwenden, dass an die Stelle des 27. Lebensjahres das 25. Lebensjahr tritt.</w:t>
      </w:r>
    </w:p>
    <w:p>
      <w:r>
        <w:rPr>
          <w:color w:val="555555"/>
          <w:sz w:val="17"/>
        </w:rPr>
        <w:t xml:space="preserve">Zitiervorschlag: § 40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