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SchfHwG — Mittel zur Durchführung der Zusatzversorgung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Mittel zur Durchführung der Zusatzversorgung werden aufgebracht aus</w:t>
      </w:r>
    </w:p>
    <w:p>
      <w:pPr>
        <w:ind w:left="420"/>
      </w:pPr>
      <w:r>
        <w:t xml:space="preserve">1. Erträgen des Vermögens der Versorgungsanstalt,</w:t>
      </w:r>
    </w:p>
    <w:p>
      <w:pPr>
        <w:ind w:left="420"/>
      </w:pPr>
      <w:r>
        <w:t xml:space="preserve">2. der wirtschaftlichen Verwertung des Vermögens der Versorgungsanstalt einschließlich des Reservefonds und</w:t>
      </w:r>
    </w:p>
    <w:p>
      <w:pPr>
        <w:ind w:left="420"/>
      </w:pPr>
      <w:r>
        <w:t xml:space="preserve">3. anderen Einnahmen der Versorgungsanstalt.</w:t>
      </w:r>
    </w:p>
    <w:p>
      <w:r>
        <w:t xml:space="preserve">(2) Soweit diese Mittel nicht ausreichen, um die Zusatzversorgung durchzuführen, leistet der Bund einen jährlichen Zuschuss an die Versorgungsanstalt in Höhe des Unterschiedsbetrages zwischen den nach Absatz 1 aufgebrachten Mitteln und den Ausgaben eines Kalenderjahres. Der Zuschuss des Bundes wird in bedarfsgerechten Raten zugewiesen.</w:t>
      </w:r>
    </w:p>
    <w:p>
      <w:r>
        <w:rPr>
          <w:color w:val="555555"/>
          <w:sz w:val="17"/>
        </w:rPr>
        <w:t xml:space="preserve">Zitiervorschlag: § 36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