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34 SchfHwG — Verjährung</w:t>
      </w:r>
    </w:p>
    <w:p>
      <w:r>
        <w:rPr>
          <w:color w:val="555555"/>
          <w:sz w:val="18"/>
        </w:rPr>
        <w:t xml:space="preserve">Schornsteinfeger-Handwerksgesetz</w:t>
      </w:r>
    </w:p>
    <w:p>
      <w:r>
        <w:rPr>
          <w:color w:val="555555"/>
          <w:sz w:val="18"/>
        </w:rPr>
        <w:t xml:space="preserve">Stand: 10.06.2019 (konsolidierte Textfassung, kein amtliches Inkrafttretensdatum)</w:t>
      </w:r>
    </w:p>
    <w:p>
      <w:r>
        <w:t xml:space="preserve">Ansprüche gegen die Versorgungsanstalt nach diesem Gesetz sowie Ansprüche der Versorgungsanstalt auf Beiträge, Zinsen und sonstige Nebenkosten verjähren in vier Jahren. Die Verjährungsfrist beginnt mit dem Schluss des Kalenderjahres, in dem die Zahlung verlangt werden kann.</w:t>
      </w:r>
    </w:p>
    <w:p>
      <w:r>
        <w:rPr>
          <w:color w:val="555555"/>
          <w:sz w:val="17"/>
        </w:rPr>
        <w:t xml:space="preserve">Zitiervorschlag: § 34 SchfHwG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https://recht.nulegal.eu/gesetze/SchfHwG/34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