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SchfHwG — Verpfändung, Übertragung und Aufrechnung von Versorgungsansprüchen</w:t>
      </w:r>
    </w:p>
    <w:p>
      <w:r>
        <w:rPr>
          <w:color w:val="555555"/>
          <w:sz w:val="18"/>
        </w:rPr>
        <w:t xml:space="preserve">Schornsteinfeger-Handwerksgesetz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Versorgungsansprüche können nicht verpfändet und nur zur Erfüllung gesetzlicher Unterhaltsansprüche auf Dritte übertragen werden.</w:t>
      </w:r>
    </w:p>
    <w:p>
      <w:r>
        <w:t xml:space="preserve">(2) Die Versorgungsanstalt kann ihre Forderungen gegen Ansprüche von Versorgungsempfängern aufrechnen.</w:t>
      </w:r>
    </w:p>
    <w:p>
      <w:r>
        <w:rPr>
          <w:color w:val="555555"/>
          <w:sz w:val="17"/>
        </w:rPr>
        <w:t xml:space="preserve">Zitiervorschlag: § 32 SchfHwG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https://recht.nulegal.eu/gesetze/SchfHwG/32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