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SchfHwG — Nichterfüllung, Zweitbescheid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bevollmächtigte Bezirksschornsteinfeger hat der zuständigen Behörde unverzüglich zu melden, wenn</w:t>
      </w:r>
    </w:p>
    <w:p>
      <w:pPr>
        <w:ind w:left="420"/>
      </w:pPr>
      <w:r>
        <w:t xml:space="preserve">1. das Formblatt und die Bescheinigungen nicht binnen 14 Tagen nach Ablauf der im Feuerstättenbescheid genannten Frist zugegangen sind und</w:t>
      </w:r>
    </w:p>
    <w:p>
      <w:pPr>
        <w:ind w:left="420"/>
      </w:pPr>
      <w:r>
        <w:t xml:space="preserve">2. die Durchführung der Arbeiten auch nicht auf andere Weise innerhalb dieser Frist nachgewiesen wurde.</w:t>
      </w:r>
    </w:p>
    <w:p>
      <w:r>
        <w:t xml:space="preserve">(2) Die zuständige Behörde setzt in einem Zweitbescheid gegenüber dem Eigentümer fest, welche Reinigungen oder Überprüfungen nach den Rechtsverordnungen nach § 1 Abs. 1 Satz 2 und 3 oder wiederkehrenden Messungen nach § 15 der Verordnung über kleine und mittlere Feuerungsanlagen innerhalb welchen Zeitraums durchzuführen sind. Für den Fall der Nichtvornahme ist die Ersatzvornahme auf Kosten des Pflichtigen anzudrohen.</w:t>
      </w:r>
    </w:p>
    <w:p>
      <w:r>
        <w:t xml:space="preserve">(3) Der Bescheid ist schriftlich oder elektronisch zu erlassen; er ist zuzustellen.</w:t>
      </w:r>
    </w:p>
    <w:p>
      <w:r>
        <w:t xml:space="preserve">(4) Widerspruch und Anfechtungsklage gegen den Bescheid haben keine aufschiebende Wirkung.</w:t>
      </w:r>
    </w:p>
    <w:p>
      <w:r>
        <w:rPr>
          <w:color w:val="555555"/>
          <w:sz w:val="17"/>
        </w:rPr>
        <w:t xml:space="preserve">Zitiervorschlag: § 25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