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SchfHwG — Zuständige Behörden</w:t>
      </w:r>
    </w:p>
    <w:p>
      <w:r>
        <w:rPr>
          <w:color w:val="555555"/>
          <w:sz w:val="18"/>
        </w:rPr>
        <w:t xml:space="preserve">Schornsteinfeger-Handwerksgesetz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für die Aufgaben nach diesem Gesetz zuständigen Behörden werden durch Landesrecht bestimmt.</w:t>
      </w:r>
    </w:p>
    <w:p>
      <w:r>
        <w:rPr>
          <w:color w:val="555555"/>
          <w:sz w:val="17"/>
        </w:rPr>
        <w:t xml:space="preserve">Zitiervorschlag: § 23 SchfHwG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https://recht.nulegal.eu/gesetze/SchfHwG/23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