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SchfHwG — Schornsteinfeger und Schornsteinfegerinnen</w:t>
      </w:r>
    </w:p>
    <w:p>
      <w:r>
        <w:rPr>
          <w:color w:val="555555"/>
          <w:sz w:val="18"/>
        </w:rPr>
        <w:t xml:space="preserve">Schornsteinfeger-Handwerksgesetz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nach den Rechtsverordnungen nach § 1 Abs. 1 Satz 2 und 3 oder einer auf Grund des Bundes-Immissionsschutzgesetzes für kleine und mittlere Feuerungsanlagen vorgeschriebenen Schornsteinfegerarbeiten sind wesentliche Tätigkeiten des Schornsteinfegerhandwerks im Sinne des § 1 Abs. 2 Satz 1 der Handwerksordnung. Die Durchführung dieser Arbeiten darf nur durch Betriebe erfolgen, die</w:t>
      </w:r>
    </w:p>
    <w:p>
      <w:pPr>
        <w:ind w:left="420"/>
      </w:pPr>
      <w:r>
        <w:t xml:space="preserve">1. mit dem Schornsteinfegerhandwerk in die Handwerksrolle eingetragen sind oder</w:t>
      </w:r>
    </w:p>
    <w:p>
      <w:pPr>
        <w:ind w:left="420"/>
      </w:pPr>
      <w:r>
        <w:t xml:space="preserve">2. die Anforderungen für eine grenzüberschreitende Erbringung von Dienstleistungen auf Grund einer Rechtsverordnung nach § 9 Absatz 1 der Handwerksordnung erfüllen.</w:t>
      </w:r>
    </w:p>
    <w:p>
      <w:r>
        <w:t xml:space="preserve">In einem Betrieb nach Satz 2 beschäftigte Personen dürfen auch ohne Begleitung durch den Betriebsleiter oder die Betriebsleiterin Schornsteinfegerarbeiten ausführen, wenn sie als Mindestqualifikation eine Gesellenprüfung im Schornsteinfegerhandwerk oder eine vergleichbare Qualifikation besitzen.</w:t>
      </w:r>
    </w:p>
    <w:p>
      <w:r>
        <w:t xml:space="preserve">(2) Die nach Absatz 1 Satz 2 und 3 berechtigten Personen sind verpflichtet,</w:t>
      </w:r>
    </w:p>
    <w:p>
      <w:pPr>
        <w:ind w:left="420"/>
      </w:pPr>
      <w:r>
        <w:t xml:space="preserve">1. ihre Tätigkeit ordnungsgemäß und gewissenhaft und nach den allgemein anerkannten Regeln der Technik auszuführen sowie</w:t>
      </w:r>
    </w:p>
    <w:p>
      <w:pPr>
        <w:ind w:left="420"/>
      </w:pPr>
      <w:r>
        <w:t xml:space="preserve">2. nur solche Geräte zu verwenden, die nach dem Stand der Technik geeignet sind, die im Rahmen der wesentlichen Tätigkeiten des Schornsteinfegerhandwerks anfallenden Arbeiten zu verrichten.</w:t>
      </w:r>
    </w:p>
    <w:p>
      <w:r>
        <w:rPr>
          <w:color w:val="555555"/>
          <w:sz w:val="17"/>
        </w:rPr>
        <w:t xml:space="preserve">Zitiervorschlag: § 2 SchfHwG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https://recht.nulegal.eu/gesetze/SchfHwG/2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