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SchfHwG — Führung des Kehrbuchs</w:t>
      </w:r>
    </w:p>
    <w:p>
      <w:r>
        <w:rPr>
          <w:color w:val="555555"/>
          <w:sz w:val="18"/>
        </w:rPr>
        <w:t xml:space="preserve">Schornsteinfeger-Handwerksgesetz</w:t>
      </w:r>
    </w:p>
    <w:p>
      <w:r>
        <w:rPr>
          <w:color w:val="555555"/>
          <w:sz w:val="18"/>
        </w:rPr>
        <w:t xml:space="preserve">Stand: 06.08.2026 (konsolidierte Textfassung, kein amtliches Inkrafttretensdatum)</w:t>
      </w:r>
    </w:p>
    <w:p>
      <w:r>
        <w:t xml:space="preserve">(1) In das Kehrbuch sind die folgenden Daten einzutragen:</w:t>
      </w:r>
    </w:p>
    <w:p>
      <w:pPr>
        <w:ind w:left="420"/>
      </w:pPr>
      <w:r>
        <w:t xml:space="preserve">1. Vor- und Familienname sowie Anschrift</w:t>
      </w:r>
    </w:p>
    <w:p>
      <w:pPr>
        <w:ind w:left="780"/>
      </w:pPr>
      <w:r>
        <w:t xml:space="preserve">a) des Eigentümers und, falls davon abweichend, des Besitzers oder</w:t>
      </w:r>
    </w:p>
    <w:p>
      <w:pPr>
        <w:ind w:left="780"/>
      </w:pPr>
      <w:r>
        <w:t xml:space="preserve">b) des Verwalters im Sinne des Wohnungseigentumsgesetzes im Fall von Wohnungseigentum und, wenn die Anlage zum Sondereigentum gehört, des Wohnungseigentümers und, wenn davon abweichend, des Besitzers, oder</w:t>
      </w:r>
    </w:p>
    <w:p>
      <w:pPr>
        <w:ind w:left="780"/>
      </w:pPr>
      <w:r>
        <w:t xml:space="preserve">c) der Wohnungseigentümer, wenn kein Verwalter bestellt ist, und, wenn abweichend, der Besitzer;</w:t>
      </w:r>
    </w:p>
    <w:p>
      <w:pPr>
        <w:ind w:left="420"/>
      </w:pPr>
      <w:r>
        <w:t xml:space="preserve">2. Angaben zur Anlage hinsichtlich:</w:t>
      </w:r>
    </w:p>
    <w:p>
      <w:pPr>
        <w:ind w:left="780"/>
      </w:pPr>
      <w:r>
        <w:t xml:space="preserve">a) Art, Brennstoff, Nennwärmeleistung, Alter sowie die Angabe, ob es sich um einen Niedertemperatur-Heizkessel oder Brennwertkessel im Sinne des Gebäudemodernisierungsgesetzes handelt,</w:t>
      </w:r>
    </w:p>
    <w:p>
      <w:pPr>
        <w:ind w:left="780"/>
      </w:pPr>
      <w:r>
        <w:t xml:space="preserve">b) Betrieb, Standort und Zuweisung zur Abgasanlage,</w:t>
      </w:r>
    </w:p>
    <w:p>
      <w:pPr>
        <w:ind w:left="780"/>
      </w:pPr>
      <w:r>
        <w:t xml:space="preserve">c) Angaben des Eigentümers zu Ausnahmetatbeständen nach § 69 Absatz 3 und 4 in Verbindung mit Absatz 2 und § 102 des Gebäudemodernisierungsgesetzes sowie Angaben darüber, dass entsprechende Nachweise vorgelegen haben, und</w:t>
      </w:r>
    </w:p>
    <w:p>
      <w:pPr>
        <w:ind w:left="780"/>
      </w:pPr>
      <w:r>
        <w:t xml:space="preserve">d) im Falle von Einzelraumfeuerungsanlagen für feste Brennstoffe, die vor dem 22. März 2010 errichtet und in Betrieb genommen wurden, Angabe der Rechtsgrundlage für die Zulässigkeit des Weiterbetriebs nach § 26 der Verordnung über kleine und mittlere Feuerungsanlagen;</w:t>
      </w:r>
    </w:p>
    <w:p>
      <w:pPr>
        <w:ind w:left="420"/>
      </w:pPr>
      <w:r>
        <w:t xml:space="preserve">3. die nach den Rechtsverordnungen nach § 1 Abs. 1 Satz 2 und 3 und die nach der Verordnung über kleine und mittlere Feuerungsanlagen vorgeschriebenen und nach § 14a festgesetzten Arbeiten und das Datum der Ausführung;</w:t>
      </w:r>
    </w:p>
    <w:p>
      <w:pPr>
        <w:ind w:left="420"/>
      </w:pPr>
      <w:r>
        <w:t xml:space="preserve">4. das Datum und das Ergebnis der letzten beiden Feuerstättenschauen sowie der Name der durchführenden Person;</w:t>
      </w:r>
    </w:p>
    <w:p>
      <w:pPr>
        <w:ind w:left="420"/>
      </w:pPr>
      <w:r>
        <w:t xml:space="preserve">5. in dem Formblatt nach § 4 vermerkte Mängel oder selbst festgestellte Mängel sowie Beanstandungen nach § 97 Absatz 1, 2 und 4 des Gebäudemodernisierungsgesetzes und das Datum des Abstellens der Mängel oder der Beanstandungen;</w:t>
      </w:r>
    </w:p>
    <w:p>
      <w:pPr>
        <w:ind w:left="420"/>
      </w:pPr>
      <w:r>
        <w:t xml:space="preserve">6. das Datum und das Ergebnis einer Bescheinigung nach § 16 Absatz 1 sowie Name und Stellung der feststellenden Person;</w:t>
      </w:r>
    </w:p>
    <w:p>
      <w:pPr>
        <w:ind w:left="420"/>
      </w:pPr>
      <w:r>
        <w:t xml:space="preserve">7. der Anlass, das Datum und das Ergebnis einer Überprüfung nach § 15 Satz 1;</w:t>
      </w:r>
    </w:p>
    <w:p>
      <w:pPr>
        <w:ind w:left="420"/>
      </w:pPr>
      <w:r>
        <w:t xml:space="preserve">8. die für die Aufstellung von Emissionskatastern im Sinne des § 46 des Bundes-Immissionsschutzgesetzes erforderlichen Angaben nach Maßgabe der öffentlich-rechtlichen Vorschriften auf dem Gebiet des Immissionsschutzes.</w:t>
      </w:r>
    </w:p>
    <w:p>
      <w:r>
        <w:t xml:space="preserve">Soweit die in Satz 1 genannten Daten den bevollmächtigten Bezirksschornsteinfegern nicht ohnehin auf Grund ihrer Tätigkeit bekannt sind, entnehmen sie die Daten den ausgefüllten Formblättern nach § 4.</w:t>
      </w:r>
    </w:p>
    <w:p>
      <w:r>
        <w:t xml:space="preserve">(2) Der bevollmächtigte Bezirksschornsteinfeger hat die Eintragungen im elektronisch zu führenden Kehrbuch vollständig und chronologisch geordnet vorzunehmen sowie vorhandene Eintragungen regelmäßig, mindestens aber vierteljährlich, auf ihre Vollständigkeit und Richtigkeit zu überprüfen. Als unvollständig oder unrichtig erkannte Eintragungen sind unverzüglich zu ergänzen oder zu aktualisieren. In den Fällen des Satzes 2 darf eine Eintragung nicht in einer Art und Weise verändert werden, dass die ursprüngliche Eintragung nicht mehr feststellbar ist. Das Kehrbuch muss jährlich abgeschlossen werden.</w:t>
      </w:r>
    </w:p>
    <w:p>
      <w:r>
        <w:t xml:space="preserve">(3) Bei der Übergabe des Bezirks ist der bevollmächtigte Bezirksschornsteinfeger verpflichtet, dem Nachfolger kostenfrei</w:t>
      </w:r>
    </w:p>
    <w:p>
      <w:pPr>
        <w:ind w:left="420"/>
      </w:pPr>
      <w:r>
        <w:t xml:space="preserve">1. die Kehrbücher der letzten sieben Jahre und die jeweils letzten zwei Feuerstättenbescheide zu übergeben,</w:t>
      </w:r>
    </w:p>
    <w:p>
      <w:pPr>
        <w:ind w:left="420"/>
      </w:pPr>
      <w:r>
        <w:t xml:space="preserve">2. die Unterlagen, die für die Führung des Kehrbuchs erforderlich sind, insbesondere Bescheinigungen über die Tauglichkeit und sichere Benutzbarkeit von Feuerungsanlagen, Formblätter, Mängelmeldungen und Bescheinigungen, zu übergeben und</w:t>
      </w:r>
    </w:p>
    <w:p>
      <w:pPr>
        <w:ind w:left="420"/>
      </w:pPr>
      <w:r>
        <w:t xml:space="preserve">3. elektronisch gespeicherte Kehrbücher und andere auf seine Tätigkeit als bevollmächtigter Bezirksschornsteinfeger bezogene Daten maschinell verwertbar und lesbar zu übermitteln.</w:t>
      </w:r>
    </w:p>
    <w:p>
      <w:r>
        <w:t xml:space="preserve">Der Nachfolger hat die übergebenen Kehrbücher und Unterlagen stichprobenartig auf Vollständigkeit des Datensatzes sowie elektronisch Gespeichertes auf maschinelle Auslesbarkeit zu prüfen. Er hat dem übergebenden bevollmächtigten Bezirksschornsteinfeger binnen sechs Wochen schriftlich oder elektronisch die ordnungsgemäße Übergabe zu bestätigen oder die Übergabe zu beanstanden. Im Fall einer Beanstandung hat der übergebende bevollmächtigte Bezirksschornsteinfeger binnen drei Wochen die Übergabe nachzubessern. Satz 2 ist sodann mit einer Frist von drei Wochen entsprechend anzuwenden. Ist auch die Nachbesserung ungenügend oder erfolgt innerhalb der Prüffrist keine Rückmeldung durch den Nachfolger, ist die Aufsichtsbehörde zu benachrichtigen und der jeweils Säumige hierüber zu unterrichten. Unverzüglich nach dem Erhalt der Bestätigung über die ordnungsgemäße Übergabe durch den Nachfolger oder die Aufsichtsbehörde hat der übergebende bevollmächtigte Bezirksschornsteinfeger alle durch die hoheitliche Tätigkeit erlangten Daten zu löschen, es sei denn, dass andere Rechtsvorschriften eine längere Aufbewahrung vorschreiben. Wenn der übergebende bevollmächtigte Bezirksschornsteinfeger seinen Pflichten nach den Sätzen 1 und 4 nicht nachkommt und der Nachfolger die Daten des Kehrbuchs erheben muss, hat der bisherige bevollmächtigte Bezirksschornsteinfeger die Kosten für die Erhebung zu tragen.</w:t>
      </w:r>
    </w:p>
    <w:p>
      <w:r>
        <w:t xml:space="preserve">(4) Der bevollmächtigte Bezirksschornsteinfeger hat ein Kehrbuch sowie die für die Führung des Kehrbuchs erforderlichen Unterlagen einschließlich der eingereichten Formblätter bis zum Ablauf von sieben Jahren ab der letzten Eintragung aufzubewahren, sofern nicht andere Rechtsvorschriften eine längere Aufbewahrung vorschreiben. Nach Ablauf der Aufbewahrungsfrist sind die Daten zu löschen und die Unterlagen zu vernichten. Die Frist nach Satz 1 beginnt mit dem Ende des Kalenderjahres, in dem die letzte Eintragung vorgenommen wurde.</w:t>
      </w:r>
    </w:p>
    <w:p>
      <w:r>
        <w:t xml:space="preserve">(5) Bevollmächtigte Bezirksschornsteinfeger verarbeiten die Daten nach Absatz 1, soweit das zur Erfüllung ihrer Aufgaben nach diesem Gesetz erforderlich ist. Personenbezogene Daten aus dem Kehrbuch werden an die zuständige Behörde übermittelt, wenn und soweit dies zur Erfüllung der Aufgaben dieser Behörde nach diesem Gesetz erforderlich ist; im Übrigen werden Daten an öffentliche Stellen übermittelt, soweit das Landesrecht dies zulässt. An nicht öffentliche Stellen dürfen die Daten nur übermittelt werden, soweit</w:t>
      </w:r>
    </w:p>
    <w:p>
      <w:pPr>
        <w:ind w:left="420"/>
      </w:pPr>
      <w:r>
        <w:t xml:space="preserve">1. die Übermittlung nach dem Landesrecht zulässig ist und</w:t>
      </w:r>
    </w:p>
    <w:p>
      <w:pPr>
        <w:ind w:left="420"/>
      </w:pPr>
      <w:r>
        <w:t xml:space="preserve">2. der Dritte, an den die Daten übermittelt werden, ein rechtliches Interesse an der Kenntnis der Daten und der Betroffene kein schutzwürdiges Interesse an dem Unterbleiben der Übermittlung hat.</w:t>
      </w:r>
    </w:p>
    <w:p>
      <w:r>
        <w:t xml:space="preserve">Die Verordnung (EU) 2016/679 bleibt unberührt.</w:t>
      </w:r>
    </w:p>
    <w:p>
      <w:r>
        <w:rPr>
          <w:color w:val="555555"/>
          <w:sz w:val="17"/>
        </w:rPr>
        <w:t xml:space="preserve">Zitiervorschlag: § 19 SchfHwG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