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SchfHwG — Weitere Aufgaben</w:t>
      </w:r>
    </w:p>
    <w:p>
      <w:r>
        <w:rPr>
          <w:color w:val="555555"/>
          <w:sz w:val="18"/>
        </w:rPr>
        <w:t xml:space="preserve">Schornsteinfeger-Handwerksgesetz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bevollmächtigte Bezirksschornsteinfeger stellt in seinem Bezirk Bescheinigungen über die Tauglichkeit und sichere Benutzbarkeit von Feuerungsanlagen aus, soweit solche Bescheinigungen durch Landesrecht vorgesehen sind.</w:t>
      </w:r>
    </w:p>
    <w:p>
      <w:r>
        <w:t xml:space="preserve">(2) Jeder bevollmächtigte Bezirksschornsteinfeger leistet auf Anforderung der für den örtlichen Brandschutz zuständigen Behörde Hilfe bei der Brandbekämpfung in seinem Bezirk.</w:t>
      </w:r>
    </w:p>
    <w:p>
      <w:r>
        <w:rPr>
          <w:color w:val="555555"/>
          <w:sz w:val="17"/>
        </w:rPr>
        <w:t xml:space="preserve">Zitiervorschlag: § 16 SchfHwG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https://recht.nulegal.eu/gesetze/SchfHwG/16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