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14a SchfHwG — Feuerstättenbescheid</w:t>
      </w:r>
    </w:p>
    <w:p>
      <w:r>
        <w:rPr>
          <w:color w:val="555555"/>
          <w:sz w:val="18"/>
        </w:rPr>
        <w:t xml:space="preserve">Schornsteinfeger-Handwerksgesetz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(1) Unverzüglich nach der Feuerstättenschau hat der bevollmächtigte Bezirksschornsteinfeger gegenüber dem Eigentümer einen Feuerstättenbescheid zu erlassen. Dieser ergeht schriftlich oder elektronisch und beinhaltet:</w:t>
      </w:r>
    </w:p>
    <w:p>
      <w:pPr>
        <w:ind w:left="420"/>
      </w:pPr>
      <w:r>
        <w:t xml:space="preserve">1. die Schornsteinfegerarbeiten, die nach den Rechtsverordnungen nach § 1 Absatz 1 Satz 2 und 3 sowie nach Maßgabe einer auf Grund des Bundes-Immissionsschutzgesetzes für kleine und mittlere Feuerungsanlagen erlassenen Rechtsverordnung durchzuführen sind,</w:t>
      </w:r>
    </w:p>
    <w:p>
      <w:pPr>
        <w:ind w:left="420"/>
      </w:pPr>
      <w:r>
        <w:t xml:space="preserve">2. die Anzahl der Schornsteinfegerarbeiten im Kalenderjahr und</w:t>
      </w:r>
    </w:p>
    <w:p>
      <w:pPr>
        <w:ind w:left="420"/>
      </w:pPr>
      <w:r>
        <w:t xml:space="preserve">3. den Fristbeginn und das Fristende für die Durchführung der jeweiligen Arbeiten.</w:t>
      </w:r>
    </w:p>
    <w:p>
      <w:r>
        <w:t xml:space="preserve">Der bevollmächtigte Bezirksschornsteinfeger bestimmt die Fristen nach pflichtgemäßem Ermessen insbesondere unter Berücksichtigung der Betriebs- und Brandsicherheit.</w:t>
      </w:r>
    </w:p>
    <w:p>
      <w:r>
        <w:t xml:space="preserve">(2) Der bevollmächtigte Bezirksschornsteinfeger weist den Eigentümer im Feuerstättenbescheid auf die Frist des § 4 Absatz 2 hin.</w:t>
      </w:r>
    </w:p>
    <w:p>
      <w:r>
        <w:t xml:space="preserve">(3) Der Feuerstättenbescheid ist auf der Grundlage der Daten des Kehrbuchs</w:t>
      </w:r>
    </w:p>
    <w:p>
      <w:pPr>
        <w:ind w:left="420"/>
      </w:pPr>
      <w:r>
        <w:t xml:space="preserve">1. zu ändern, wenn sich die Kehr- und Überprüfungsintervalle nach einer in Absatz 1 Satz 2 Nummer 1 genannten Rechtsverordnung ändern oder</w:t>
      </w:r>
    </w:p>
    <w:p>
      <w:pPr>
        <w:ind w:left="420"/>
      </w:pPr>
      <w:r>
        <w:t xml:space="preserve">2. für kehr- und überprüfungspflichtige Anlagen, für die bislang kein Feuerstättenbescheid ausgestellt wurde, zu erstellen.</w:t>
      </w:r>
    </w:p>
    <w:p>
      <w:r>
        <w:t xml:space="preserve">(4) Findet für ein Grundstück oder einen Raum eine Ausstellung einer Bescheinigung über die Tauglichkeit und sichere Benutzbarkeit von Feuerungsanlagen statt, ist der Feuerstättenbescheid abweichend von Absatz 1 unverzüglich nach der Ausstellung der Bescheinigung zu erlassen.</w:t>
      </w:r>
    </w:p>
    <w:p>
      <w:r>
        <w:t xml:space="preserve">(5) Widerspruch und Anfechtungsklage gegen den Feuerstättenbescheid haben keine aufschiebende Wirkung. Der Feuerstättenbescheid gilt auch für und gegen den Rechtsnachfolger.</w:t>
      </w:r>
    </w:p>
    <w:p>
      <w:r>
        <w:rPr>
          <w:color w:val="555555"/>
          <w:sz w:val="17"/>
        </w:rPr>
        <w:t xml:space="preserve">Zitiervorschlag: § 14a SchfHwG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https://recht.nulegal.eu/gesetze/SchfHwG/14a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