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11a SchfHwG — Verwaltung eines unbesetzten Bezirks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ein Bezirk unbesetzt ist, ist § 11 Absatz 3 bis 5 entsprechend anzuwenden.</w:t>
      </w:r>
    </w:p>
    <w:p>
      <w:r>
        <w:t xml:space="preserve">(2) Stirbt ein bevollmächtigter Bezirksschornsteinfeger, so sind der Erbe oder die Erben verpflichtet, der zuständigen Behörde den Todesfall unter Angabe des Sterbedatums unverzüglich anzuzeigen.</w:t>
      </w:r>
    </w:p>
    <w:p>
      <w:r>
        <w:rPr>
          <w:color w:val="555555"/>
          <w:sz w:val="17"/>
        </w:rPr>
        <w:t xml:space="preserve">Zitiervorschlag: § 11a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https://recht.nulegal.eu/gesetze/SchfHwG/11a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