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SchfHwG — Eigentümerpflichten; Verordnungsermächtigungen</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Jeder Eigentümer eines Grundstücks oder eines Raums ist verpflichtet, fristgerecht Folgendes zu veranlassen:</w:t>
      </w:r>
    </w:p>
    <w:p>
      <w:pPr>
        <w:ind w:left="420"/>
      </w:pPr>
      <w:r>
        <w:t xml:space="preserve">1. die Reinigung und Überprüfung von kehr- und prüfungspflichtigen Anlagen sowie</w:t>
      </w:r>
    </w:p>
    <w:p>
      <w:pPr>
        <w:ind w:left="420"/>
      </w:pPr>
      <w:r>
        <w:t xml:space="preserve">2. die Schornsteinfegerarbeiten, die für kleine und mittlere Feuerungsanlagen durch Rechtsverordnung nach § 23 Absatz 1 des Bundes-Immissionsschutzgesetzes vorgeschrieben sind.</w:t>
      </w:r>
    </w:p>
    <w:p>
      <w:r>
        <w:t xml:space="preserve">Das Bundesministerium für Wirtschaft und Energie wird ermächtigt, mit Zustimmung des Bundesrates zum Zweck der Erhaltung der Betriebs- und Brandsicherheit, des Umweltschutzes, der Energieeinsparung und des Klimaschutzes durch Rechtsverordnung zu bestimmen,</w:t>
      </w:r>
    </w:p>
    <w:p>
      <w:pPr>
        <w:ind w:left="420"/>
      </w:pPr>
      <w:r>
        <w:t xml:space="preserve">1. welche Abgasanlagen, Feuerstätten, Rauchableitungen, Lüftungsanlagen oder sonstige Einrichtungen (Anlagen) in welchen Zeiträumen gereinigt oder überprüft werden müssen,</w:t>
      </w:r>
    </w:p>
    <w:p>
      <w:pPr>
        <w:ind w:left="420"/>
      </w:pPr>
      <w:r>
        <w:t xml:space="preserve">2. welche Grenzwerte an Ab- und Verbrennungsgasen zum Erhalt der Betriebs- und Brandsicherheit von diesen Anlagen nicht überschritten werden dürfen,</w:t>
      </w:r>
    </w:p>
    <w:p>
      <w:pPr>
        <w:ind w:left="420"/>
      </w:pPr>
      <w:r>
        <w:t xml:space="preserve">3. welche Verfahren bei der Reinigung und Überprüfung einzuhalten sind.</w:t>
      </w:r>
    </w:p>
    <w:p>
      <w:r>
        <w:t xml:space="preserve">Die Landesregierungen werden ermächtigt, über die vom Bundesministerium für Wirtschaft und Energie getroffenen Regelungen hinaus durch Rechtsverordnung weitere Anlagen zu bestimmen, die zu den in Satz 2 aufgeführten Zwecken gereinigt oder überprüft werden müssen, und in welchen Zeiträumen dies zu geschehen hat. Die Landesregierungen können diese Ermächtigung auf oberste Landesbehörden übertragen.</w:t>
      </w:r>
    </w:p>
    <w:p>
      <w:r>
        <w:t xml:space="preserve">(2) Jeder Eigentümer hat unverzüglich dem zuständigen bevollmächtigten Bezirksschornsteinfeger schriftlich oder elektronisch mitzuteilen:</w:t>
      </w:r>
    </w:p>
    <w:p>
      <w:pPr>
        <w:ind w:left="420"/>
      </w:pPr>
      <w:r>
        <w:t xml:space="preserve">1. Änderungen an kehr- und überprüfungspflichtigen Anlagen, den Einbau neuer Anlagen und die Inbetriebnahme stillgelegter Anlagen sowie</w:t>
      </w:r>
    </w:p>
    <w:p>
      <w:pPr>
        <w:ind w:left="420"/>
      </w:pPr>
      <w:r>
        <w:t xml:space="preserve">2. die dauerhafte Stilllegung einer kehr- und überprüfungspflichtigen Anlage.</w:t>
      </w:r>
    </w:p>
    <w:p>
      <w:r>
        <w:t xml:space="preserve">Im Fall des Übergangs des Eigentums an einem Grundstück oder einem Raum hat der neue Eigentümer dies unter Angabe seines Namens und seiner Anschrift unverzüglich nach dem Eigentumsübergang dem zuständigen bevollmächtigten Bezirksschornsteinfeger schriftlich oder elektronisch mitzuteilen.</w:t>
      </w:r>
    </w:p>
    <w:p>
      <w:r>
        <w:t xml:space="preserve">(3) Jeder Eigentümer oder Besitzer eines Grundstücks oder eines Raums ist verpflichtet, dem bevollmächtigten Bezirksschornsteinfeger und sonstigen Beauftragten der zuständigen Behörden für die Durchführung der in den §§ 14, 15 und 26 bezeichneten Tätigkeiten sowie von Tätigkeiten, die durch Landesrecht vorgesehen sind, Zutritt zu den Grundstücken und Räumen zu gestatten. Jeder Besitzer ist zusätzlich verpflichtet, dem mit Schornsteinfegerarbeiten Beauftragten für die Durchführung von in § 2 Absatz 1 Satz 1 bezeichneten Tätigkeiten Zutritt zu gestatten.</w:t>
      </w:r>
    </w:p>
    <w:p>
      <w:r>
        <w:t xml:space="preserve">(4) Sofern ein Eigentümer oder Besitzer eines Grundstücks oder eines Raums</w:t>
      </w:r>
    </w:p>
    <w:p>
      <w:pPr>
        <w:ind w:left="420"/>
      </w:pPr>
      <w:r>
        <w:t xml:space="preserve">1. den Zutritt zu dem Grundstück oder dem Gebäude entgegen Absatz 3 oder</w:t>
      </w:r>
    </w:p>
    <w:p>
      <w:pPr>
        <w:ind w:left="420"/>
      </w:pPr>
      <w:r>
        <w:t xml:space="preserve">2. die Durchführung einer Tätigkeit, die auf Grund einer der in Absatz 3 bezeichneten Vorschriften durchzuführen ist,</w:t>
      </w:r>
    </w:p>
    <w:p>
      <w:r>
        <w:t xml:space="preserve">nicht gestattet, erlässt die zuständige Behörde unverzüglich eine Duldungsverfügung. § 25 Absatz 3 und 4 ist entsprechend anzuwenden.</w:t>
      </w:r>
    </w:p>
    <w:p>
      <w:r>
        <w:t xml:space="preserve">(5) Das Grundrecht der Unverletzlichkeit der Wohnung wird nach Maßgabe der Absätze 3 und 4 eingeschränkt.</w:t>
      </w:r>
    </w:p>
    <w:p>
      <w:r>
        <w:rPr>
          <w:color w:val="555555"/>
          <w:sz w:val="17"/>
        </w:rPr>
        <w:t xml:space="preserve">Zitiervorschlag: § 1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