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SchfAusbV 2025 — Prüfungsbereiche des Teiles 2</w:t>
      </w:r>
    </w:p>
    <w:p>
      <w:r>
        <w:rPr>
          <w:color w:val="555555"/>
          <w:sz w:val="18"/>
        </w:rPr>
        <w:t xml:space="preserve">Schornsteinfeger-Ausbildungsverordnung</w:t>
      </w:r>
    </w:p>
    <w:p>
      <w:r>
        <w:rPr>
          <w:color w:val="555555"/>
          <w:sz w:val="18"/>
        </w:rPr>
        <w:t xml:space="preserve">Stand: 01.08.2025 (konsolidierte Textfassung, kein amtliches Inkrafttretensdatum)</w:t>
      </w:r>
    </w:p>
    <w:p>
      <w:r>
        <w:t xml:space="preserve">Teil 2 der Gesellenprüfung findet in den folgenden Prüfungsbereichen statt:</w:t>
      </w:r>
    </w:p>
    <w:p>
      <w:pPr>
        <w:ind w:left="420"/>
      </w:pPr>
      <w:r>
        <w:t xml:space="preserve">1. „Betriebssicherheit sowie Brandsicherheit“,</w:t>
      </w:r>
    </w:p>
    <w:p>
      <w:pPr>
        <w:ind w:left="420"/>
      </w:pPr>
      <w:r>
        <w:t xml:space="preserve">2. „Klimaschutz und Energieeffizienz“,</w:t>
      </w:r>
    </w:p>
    <w:p>
      <w:pPr>
        <w:ind w:left="420"/>
      </w:pPr>
      <w:r>
        <w:t xml:space="preserve">3. „Lüftungstechnik“ sowie</w:t>
      </w:r>
    </w:p>
    <w:p>
      <w:pPr>
        <w:ind w:left="420"/>
      </w:pPr>
      <w:r>
        <w:t xml:space="preserve">4. „Wirtschafts- und Sozialkunde“.</w:t>
      </w:r>
    </w:p>
    <w:p>
      <w:r>
        <w:rPr>
          <w:color w:val="555555"/>
          <w:sz w:val="17"/>
        </w:rPr>
        <w:t xml:space="preserve">Zitiervorschlag: § 11 SchfAusbV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https://recht.nulegal.eu/gesetze/SchfAusbV%202025/11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