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SchfAusbV 2012</w:t>
      </w:r>
    </w:p>
    <w:p>
      <w:r>
        <w:rPr>
          <w:color w:val="555555"/>
          <w:sz w:val="18"/>
        </w:rPr>
        <w:t xml:space="preserve">Schornsteinfeger-Ausbildungsverordnung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Auf Grund des § 25 Absatz 1 Satz 1 in Verbindung mit § 26 Absatz 1 und 2 Satz 1 Nummer 2, 3 und 7 der Handwerksordnung, von denen § 25 Absatz 1 zuletzt durch Artikel 146 der Verordnung vom 31. Oktober 2006 (BGBl. I S. 2407) geändert und § 26 zuletzt durch Artikel 2 Nummer 4 des Gesetzes vom 23. März 2005 (BGBl. I S. 931) neu gefasst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SchfAusbV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https://recht.nulegal.eu/gesetze/SchfAusbV%202012/eingangsformel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