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SchfAusbV 2012 — Inkrafttreten, Außerkrafttreten</w:t>
      </w:r>
    </w:p>
    <w:p>
      <w:r>
        <w:rPr>
          <w:color w:val="555555"/>
          <w:sz w:val="18"/>
        </w:rPr>
        <w:t xml:space="preserve">Schornsteinfeger-Ausbildungsverordnung</w:t>
      </w:r>
    </w:p>
    <w:p>
      <w:r>
        <w:rPr>
          <w:color w:val="555555"/>
          <w:sz w:val="18"/>
        </w:rPr>
        <w:t xml:space="preserve">Historische Fassung: Stand 10.06.2019 bis 01.08.2025. Dies ist nicht die aktuelle Fassung.</w:t>
      </w:r>
    </w:p>
    <w:p>
      <w:r>
        <w:t xml:space="preserve">Diese Verordnung tritt am 1. August 2012 in Kraft. Gleichzeitig tritt die Verordnung über die Berufsausbildung zum Schornsteinfeger/zur Schornsteinfegerin vom 31. Januar 1997 (BGBl. I S. 179) außer Kraft.</w:t>
      </w:r>
    </w:p>
    <w:p>
      <w:r>
        <w:rPr>
          <w:color w:val="555555"/>
          <w:sz w:val="17"/>
        </w:rPr>
        <w:t xml:space="preserve">Zitiervorschlag: § 9 SchfAusbV 2012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https://recht.nulegal.eu/gesetze/SchfAusbV%202012/9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