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58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Aussteller, dessen Rückgriffsverbindlichkeit durch Unterlassung rechtzeitiger Vorlegung oder Verjährung erloschen ist, bleibt dem Inhaber des Schecks so weit verpflichtet, als er sich mit dessen Schaden bereichern würde.</w:t>
      </w:r>
    </w:p>
    <w:p>
      <w:r>
        <w:t xml:space="preserve">(2) Der Anspruch verjährt in einem Jahre seit der Ausstellung des Schecks.</w:t>
      </w:r>
    </w:p>
    <w:p>
      <w:r>
        <w:rPr>
          <w:color w:val="555555"/>
          <w:sz w:val="17"/>
        </w:rPr>
        <w:t xml:space="preserve">Zitiervorschlag: Art 58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