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eine Ausfertigung bezahlt, so erlöschen die Rechte aus allen Ausfertigungen, auch wenn diese nicht den Vermerk tragen, daß durch die Zahlung auf eine Ausfertigung die anderen ihre Gültigkeit verlieren.</w:t>
      </w:r>
    </w:p>
    <w:p>
      <w:r>
        <w:t xml:space="preserve">(2) Hat ein Indossant die Ausfertigungen an verschiedene Personen übertragen, so haften er und seine Nachmänner aus allen Ausfertigungen, die ihre Unterschrift tragen und nicht herausgegeben worden sind.</w:t>
      </w:r>
    </w:p>
    <w:p>
      <w:r>
        <w:rPr>
          <w:color w:val="555555"/>
          <w:sz w:val="17"/>
        </w:rPr>
        <w:t xml:space="preserve">Zitiervorschlag: Art 50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