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Scheck kann zahlbar gestellt werden:</w:t>
      </w:r>
    </w:p>
    <w:p>
      <w:pPr>
        <w:ind w:left="420"/>
      </w:pPr>
      <w:r>
        <w:t xml:space="preserve">an eine bestimmte Person, mit oder ohne den ausdrücklichen Vermerk "an Order";an eine bestimmte Person, mit dem Vermerk "nicht an Order" oder mit einem gleichbedeutenden Vermerk;an den Inhaber.</w:t>
      </w:r>
    </w:p>
    <w:p>
      <w:r>
        <w:t xml:space="preserve">(2) Ist im Scheck eine bestimmte Person mit dem Zusatz "oder Überbringer" oder mit einem gleichbedeutenden Vermerk als Zahlungsempfänger bezeichnet, so gilt der Scheck als auf den Inhaber gestellt.</w:t>
      </w:r>
    </w:p>
    <w:p>
      <w:r>
        <w:t xml:space="preserve">(3) Ein Scheck ohne Angabe des Nehmers gilt als zahlbar an den Inhaber.</w:t>
      </w:r>
    </w:p>
    <w:p>
      <w:r>
        <w:rPr>
          <w:color w:val="555555"/>
          <w:sz w:val="17"/>
        </w:rPr>
        <w:t xml:space="preserve">Zitiervorschlag: Art 5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