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Protest oder die gleichbedeutende Feststellung muß vor Ablauf der Vorlegungsfrist vorgenommen werden.</w:t>
      </w:r>
    </w:p>
    <w:p>
      <w:r>
        <w:t xml:space="preserve">(2) Ist die Vorlegung am letzten Tage der Frist erfolgt, so kann der Protest oder die gleichbedeutende Feststellung auch noch an dem folgenden Werktage vorgenommen werden.</w:t>
      </w:r>
    </w:p>
    <w:p>
      <w:r>
        <w:rPr>
          <w:color w:val="555555"/>
          <w:sz w:val="17"/>
        </w:rPr>
        <w:t xml:space="preserve">Zitiervorschlag: Art 41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