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Widerruf des Schecks ist erst nach Ablauf der Vorlegungsfrist wirksam.</w:t>
      </w:r>
    </w:p>
    <w:p>
      <w:r>
        <w:t xml:space="preserve">(2) Wenn der Scheck nicht widerrufen ist, kann der Bezogene auch nach Ablauf der Vorlegungsfrist Zahlung leisten.</w:t>
      </w:r>
    </w:p>
    <w:p>
      <w:r>
        <w:rPr>
          <w:color w:val="555555"/>
          <w:sz w:val="17"/>
        </w:rPr>
        <w:t xml:space="preserve">Zitiervorschlag: Art 32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