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Scheck ist bei Sicht zahlbar. Jede gegenteilige Angabe gilt als nicht geschrieben.</w:t>
      </w:r>
    </w:p>
    <w:p>
      <w:r>
        <w:t xml:space="preserve">(2) Ein Scheck, der vor Eintritt des auf ihm angegebenen Ausstellungstags zur Zahlung vorgelegt wird, ist am Tag der Vorlegung zahlbar.</w:t>
      </w:r>
    </w:p>
    <w:p>
      <w:r>
        <w:rPr>
          <w:color w:val="555555"/>
          <w:sz w:val="17"/>
        </w:rPr>
        <w:t xml:space="preserve">Zitiervorschlag: Art 28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