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23 ScheckG</w:t>
      </w:r>
    </w:p>
    <w:p>
      <w:r>
        <w:rPr>
          <w:color w:val="555555"/>
          <w:sz w:val="18"/>
        </w:rPr>
        <w:t xml:space="preserve">Scheckgesetz</w:t>
      </w:r>
    </w:p>
    <w:p>
      <w:r>
        <w:rPr>
          <w:color w:val="555555"/>
          <w:sz w:val="18"/>
        </w:rPr>
        <w:t xml:space="preserve">Stand: 10.06.2019 (konsolidierte Textfassung, kein amtliches Inkrafttretensdatum)</w:t>
      </w:r>
    </w:p>
    <w:p>
      <w:r>
        <w:t xml:space="preserve">(1) Enthält das Indossament den Vermerk "Wert zur Einziehung", "zum Inkasso", "in Prokura" oder einen anderen nur eine Bevollmächtigung ausdrückenden Vermerk, so kann der Inhaber alle Rechte aus dem Scheck geltend machen; aber er kann ihn nur durch ein weiteres Vollmachtsindossament übertragen.</w:t>
      </w:r>
    </w:p>
    <w:p>
      <w:r>
        <w:t xml:space="preserve">(2) Die Scheckverpflichteten können in diesem Falle dem Inhaber nur solche Einwendungen entgegensetzen, die ihnen gegen den Indossanten zustehen.</w:t>
      </w:r>
    </w:p>
    <w:p>
      <w:r>
        <w:t xml:space="preserve">(3) Die in dem Vollmachtsindossament enthaltene Vollmacht erlischt weder mit dem Tode noch mit dem Eintritt der Handlungsunfähigkeit des Vollmachtgebers.</w:t>
      </w:r>
    </w:p>
    <w:p>
      <w:r>
        <w:rPr>
          <w:color w:val="555555"/>
          <w:sz w:val="17"/>
        </w:rPr>
        <w:t xml:space="preserve">Zitiervorschlag: Art 23 ScheckG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https://recht.nulegal.eu/gesetze/ScheckG/23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