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ScheckG</w:t>
      </w:r>
    </w:p>
    <w:p>
      <w:r>
        <w:rPr>
          <w:color w:val="555555"/>
          <w:sz w:val="18"/>
        </w:rPr>
        <w:t xml:space="preserve">Scheckgesetz</w:t>
      </w:r>
    </w:p>
    <w:p>
      <w:r>
        <w:rPr>
          <w:color w:val="555555"/>
          <w:sz w:val="18"/>
        </w:rPr>
        <w:t xml:space="preserve">Stand: 10.06.2019 (konsolidierte Textfassung, kein amtliches Inkrafttretensdatum)</w:t>
      </w:r>
    </w:p>
    <w:p>
      <w:r>
        <w:t xml:space="preserve">(1) Eine Urkunde, in der einer der im vorstehenden Artikel bezeichneten Bestandteile fehlt, gilt nicht als Scheck, vorbehaltlich der in den folgenden Absätzen bezeichneten Fälle.</w:t>
      </w:r>
    </w:p>
    <w:p>
      <w:r>
        <w:t xml:space="preserve">(2) Mangels einer besonderen Angabe gilt der bei dem Namen des Bezogenen angegebene Ort als Zahlungsort. Sind mehrere Orte bei dem Namen des Bezogenen angegeben, so ist der Scheck an dem an erster Stelle angegebenen Ort zahlbar.</w:t>
      </w:r>
    </w:p>
    <w:p>
      <w:r>
        <w:t xml:space="preserve">(3) Fehlt eine solche und jede andere Angabe, so ist der Scheck an dem Orte zahlbar, an dem der Bezogene seine Hauptniederlassung hat.</w:t>
      </w:r>
    </w:p>
    <w:p>
      <w:r>
        <w:t xml:space="preserve">(4) Ein Scheck ohne Angabe des Ausstellungsorts gilt als ausgestellt an dem Orte, der bei dem Namen des Ausstellers angegeben ist.</w:t>
      </w:r>
    </w:p>
    <w:p>
      <w:r>
        <w:rPr>
          <w:color w:val="555555"/>
          <w:sz w:val="17"/>
        </w:rPr>
        <w:t xml:space="preserve">Zitiervorschlag: Art 2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