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ScheckG</w:t>
      </w:r>
    </w:p>
    <w:p>
      <w:r>
        <w:rPr>
          <w:color w:val="555555"/>
          <w:sz w:val="18"/>
        </w:rPr>
        <w:t xml:space="preserve">Scheckgesetz</w:t>
      </w:r>
    </w:p>
    <w:p>
      <w:r>
        <w:rPr>
          <w:color w:val="555555"/>
          <w:sz w:val="18"/>
        </w:rPr>
        <w:t xml:space="preserve">Stand: 10.06.2019 (konsolidierte Textfassung, kein amtliches Inkrafttretensdatum)</w:t>
      </w:r>
    </w:p>
    <w:p>
      <w:r>
        <w:t xml:space="preserve">Wer einen durch Indossament übertragbaren Scheck in Händen hat, gilt als rechtmäßiger Inhaber, sofern er sein Recht durch eine ununterbrochene Reihe von Indossamenten nachweist, und zwar auch dann, wenn das letzte ein Blankoindossament ist. Ausgestrichene Indossamente gelten hierbei als nicht geschrieben. Folgt auf ein Blankoindossament ein weiteres Indossament, so wird angenommen, daß der Aussteller dieses Indossaments den Scheck durch das Blankoindossament erworben hat.</w:t>
      </w:r>
    </w:p>
    <w:p>
      <w:r>
        <w:rPr>
          <w:color w:val="555555"/>
          <w:sz w:val="17"/>
        </w:rPr>
        <w:t xml:space="preserve">Zitiervorschlag: Art 19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