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Indossament überträgt alle Rechte aus dem Scheck.</w:t>
      </w:r>
    </w:p>
    <w:p>
      <w:r>
        <w:t xml:space="preserve">(2) Ist es ein Blankoindossament, so kann der Inhaber</w:t>
      </w:r>
    </w:p>
    <w:p>
      <w:pPr>
        <w:ind w:left="420"/>
      </w:pPr>
      <w:r>
        <w:t xml:space="preserve">1. das Indossament mit seinem Namen oder mit dem Namen eines anderen ausfüllen;</w:t>
      </w:r>
    </w:p>
    <w:p>
      <w:pPr>
        <w:ind w:left="420"/>
      </w:pPr>
      <w:r>
        <w:t xml:space="preserve">2. den Scheck durch ein Blankoindossament oder an eine bestimmte Person weiter indossieren;</w:t>
      </w:r>
    </w:p>
    <w:p>
      <w:pPr>
        <w:ind w:left="420"/>
      </w:pPr>
      <w:r>
        <w:t xml:space="preserve">3. den Scheck weitergegeben, ohne das Blankoindossament auszufüllen und ohne ihn zu indossieren.</w:t>
      </w:r>
    </w:p>
    <w:p>
      <w:r>
        <w:rPr>
          <w:color w:val="555555"/>
          <w:sz w:val="17"/>
        </w:rPr>
        <w:t xml:space="preserve">Zitiervorschlag: Art 17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