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ScheckG</w:t>
      </w:r>
    </w:p>
    <w:p>
      <w:r>
        <w:rPr>
          <w:color w:val="555555"/>
          <w:sz w:val="18"/>
        </w:rPr>
        <w:t xml:space="preserve">Scheckgesetz</w:t>
      </w:r>
    </w:p>
    <w:p>
      <w:r>
        <w:rPr>
          <w:color w:val="555555"/>
          <w:sz w:val="18"/>
        </w:rPr>
        <w:t xml:space="preserve">Stand: 10.06.2019 (konsolidierte Textfassung, kein amtliches Inkrafttretensdatum)</w:t>
      </w:r>
    </w:p>
    <w:p>
      <w:r>
        <w:t xml:space="preserve">Trägt ein Scheck Unterschriften von Personen, die eine Scheckverbindlichkeit nicht eingehen können, gefälschte Unterschriften, Unterschriften erdichteter Personen oder Unterschriften, die aus irgendeinem anderen Grunde für die Personen, die unterschrieben haben oder mit deren Namen unterschrieben worden ist, keine Verbindlichkeit begründen, so hat dies auf die Gültigkeit der übrigen Unterschriften keinen Einfluß.</w:t>
      </w:r>
    </w:p>
    <w:p>
      <w:r>
        <w:rPr>
          <w:color w:val="555555"/>
          <w:sz w:val="17"/>
        </w:rPr>
        <w:t xml:space="preserve">Zitiervorschlag: Art 10 ScheckG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https://recht.nulegal.eu/gesetze/ScheckG/10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