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SchauHV</w:t>
      </w:r>
    </w:p>
    <w:p>
      <w:r>
        <w:rPr>
          <w:color w:val="555555"/>
          <w:sz w:val="18"/>
        </w:rPr>
        <w:t xml:space="preserve">Schaustellerhaftpflichtverordnung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55f der Gewerbeordnung in der Fassung der Bekanntmachung vom 1. Januar 1978 (BGBl. I S. 97), der durch Artikel 2 Nr. 16 des Gesetzes vom 25. Juli 1984 (BGBl. I S. 1008) eingefügt worden ist, verordnet der Bundesminister für Wirtschaft mit Zustimmung des Bundesrates:</w:t>
      </w:r>
    </w:p>
    <w:p>
      <w:r>
        <w:rPr>
          <w:color w:val="555555"/>
          <w:sz w:val="17"/>
        </w:rPr>
        <w:t xml:space="preserve">Zitiervorschlag: Eingangsformel SchauHV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