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SchauHV — Inkrafttreten</w:t>
      </w:r>
    </w:p>
    <w:p>
      <w:r>
        <w:rPr>
          <w:color w:val="555555"/>
          <w:sz w:val="18"/>
        </w:rPr>
        <w:t xml:space="preserve">Schaustellerhaftpflichtverordnung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1985 in Kraft.</w:t>
      </w:r>
    </w:p>
    <w:p>
      <w:r>
        <w:rPr>
          <w:color w:val="555555"/>
          <w:sz w:val="17"/>
        </w:rPr>
        <w:t xml:space="preserve">Zitiervorschlag: § 5 SchauHV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https://recht.nulegal.eu/gesetze/SchauHV/5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