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SchauHV — Ordnungswidrigkeiten</w:t>
      </w:r>
    </w:p>
    <w:p>
      <w:r>
        <w:rPr>
          <w:color w:val="555555"/>
          <w:sz w:val="18"/>
        </w:rPr>
        <w:t xml:space="preserve">Schaustellerhaftpflichtverordnung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145 Abs. 1 Nr. 2 der Gewerbeordnung handelt, wer vorsätzlich oder fahrlässig</w:t>
      </w:r>
    </w:p>
    <w:p>
      <w:pPr>
        <w:ind w:left="420"/>
      </w:pPr>
      <w:r>
        <w:t xml:space="preserve">1. entgegen § 1 eine Versicherung nicht oder nicht in der vorgeschriebenen Höhe abschließt oder aufrechterhält,</w:t>
      </w:r>
    </w:p>
    <w:p>
      <w:pPr>
        <w:ind w:left="420"/>
      </w:pPr>
      <w:r>
        <w:t xml:space="preserve">2. entgegen § 2 die Versicherungsunterlagen auf Verlangen nicht vorzeigt.</w:t>
      </w:r>
    </w:p>
    <w:p>
      <w:r>
        <w:rPr>
          <w:color w:val="555555"/>
          <w:sz w:val="17"/>
        </w:rPr>
        <w:t xml:space="preserve">Zitiervorschlag: § 3 SchauHV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https://recht.nulegal.eu/gesetze/SchauHV/3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