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SchauHV — Vorzeigen der Versicherungsunterlagen</w:t>
      </w:r>
    </w:p>
    <w:p>
      <w:r>
        <w:rPr>
          <w:color w:val="555555"/>
          <w:sz w:val="18"/>
        </w:rPr>
        <w:t xml:space="preserve">Schaustellerhaftpflichtverordnung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Inhaber einer Reisegewerbekarte oder einer Zweitschrift (§ 60c Abs. 2 der Gewerbeordnung) ist verpflichtet, während der Ausübung des Gewerbebetriebs Unterlagen, aus denen sich das Bestehen der nach § 1 erforderlichen Haftpflichtversicherung ergibt, auf Verlangen den Beauftragten der zuständigen Behörde vorzuzeigen.</w:t>
      </w:r>
    </w:p>
    <w:p>
      <w:r>
        <w:t xml:space="preserve">(2) Dies gilt auch für Gewerbetreibende aus einem anderen Mitgliedstaat der Europäischen Union oder einem anderen Vertragsstaat des Abkommens über den Europäischen Wirtschaftsraum, die der Versicherungspflicht nach § 1 unterliegen.</w:t>
      </w:r>
    </w:p>
    <w:p>
      <w:r>
        <w:rPr>
          <w:color w:val="555555"/>
          <w:sz w:val="17"/>
        </w:rPr>
        <w:t xml:space="preserve">Zitiervorschlag: § 2 SchauHV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https://recht.nulegal.eu/gesetze/SchauHV/2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