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ScharkaV</w:t>
      </w:r>
    </w:p>
    <w:p>
      <w:r>
        <w:rPr>
          <w:color w:val="555555"/>
          <w:sz w:val="18"/>
        </w:rPr>
        <w:t xml:space="preserve">Verordnung zur Bekämpfung der Scharkakrankheit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Auf Grund des § 3 Abs. 1 Nr. 1, 3 bis 5, 7 und 13 des Pflanzenschutzgesetzes vom 10. Mai 1968 (Bundesgesetzbl. I S. 352), geändert durch das Einführungsgesetz zum Gesetz über Ordnungswidrigkeiten vom 24. Mai 1968 (Bundesgesetzbl. I S. 503), wird im Einvernehmen mit dem Bundesminister für Jugend, Familie und Gesundheit mit Zustimmung des Bundesrates verordnet:</w:t>
      </w:r>
    </w:p>
    <w:p>
      <w:r>
        <w:rPr>
          <w:color w:val="555555"/>
          <w:sz w:val="17"/>
        </w:rPr>
        <w:t xml:space="preserve">Zitiervorschlag: Eingangsformel ScharkaV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https://recht.nulegal.eu/gesetze/ScharkaV/eingangsformel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