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ScharkaV</w:t>
      </w:r>
    </w:p>
    <w:p>
      <w:r>
        <w:rPr>
          <w:color w:val="555555"/>
          <w:sz w:val="18"/>
        </w:rPr>
        <w:t xml:space="preserve">Verordnung zur Bekämpfung der Scharkakrankheit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(1) Das Züchten und Halten des Erregers der Scharkakrankheit sowie das Arbeiten mit diesem Schadorganismus sind verboten.</w:t>
      </w:r>
    </w:p>
    <w:p>
      <w:r>
        <w:t xml:space="preserve">(2) Die zuständige Behörde kann im Einzelfall für wissenschaftliche Untersuchungen, zur Artbestimmung des Schadorganismus und für Züchtungsvorhaben Ausnahmen von Absatz 1 genehmigen, soweit hierdurch die Bekämpfung der Scharkakrankheit nicht beeinträchtigt wird. Vor der Entscheidung ist das Julius Kühn-Institut, Bundesforschungsinstitut für Kulturpflanzen, zu hören.</w:t>
      </w:r>
    </w:p>
    <w:p>
      <w:r>
        <w:rPr>
          <w:color w:val="555555"/>
          <w:sz w:val="17"/>
        </w:rPr>
        <w:t xml:space="preserve">Zitiervorschlag: § 5 ScharkaV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https://recht.nulegal.eu/gesetze/ScharkaV/5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