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ScharkaV</w:t>
      </w:r>
    </w:p>
    <w:p>
      <w:r>
        <w:rPr>
          <w:color w:val="555555"/>
          <w:sz w:val="18"/>
        </w:rPr>
        <w:t xml:space="preserve">Verordnung zur Bekämpfung der Scharkakrankheit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Verfügungsberechtigte und Besitzer von Pflanzen sind verpflichtet, wenn und soweit die zuständige Behörde es zur Bekämpfung der Scharkakrankheit oder zur Verhütung ihrer Ausbreitung anordnet,</w:t>
      </w:r>
    </w:p>
    <w:p>
      <w:pPr>
        <w:ind w:left="420"/>
      </w:pPr>
      <w:r>
        <w:t xml:space="preserve">1. in Pflanzenbeständen, in denen die Scharkakrankheit aufgetreten ist oder die befallsverdächtig oder befallsgefährdet sind, eine Bekämpfung der die Scharkakrankheit übertragenden Insekten ohne Rücksicht auf ihr tatsächliches Vorhandensein durchzuführen,</w:t>
      </w:r>
    </w:p>
    <w:p>
      <w:pPr>
        <w:ind w:left="420"/>
      </w:pPr>
      <w:r>
        <w:t xml:space="preserve">2. Unterlagenaustriebe von Pflanzen, die der Art nach für die Scharkakrankheit anfällig sind, während einer bestimmten Zeit nach der Veredlung an den Pflanzen zu belassen.</w:t>
      </w:r>
    </w:p>
    <w:p>
      <w:r>
        <w:rPr>
          <w:color w:val="555555"/>
          <w:sz w:val="17"/>
        </w:rPr>
        <w:t xml:space="preserve">Zitiervorschlag: § 4 ScharkaV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https://recht.nulegal.eu/gesetze/ScharkaV/4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