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9 SchadRegProtAG — Übergangsvorschrift</w:t>
      </w:r>
    </w:p>
    <w:p>
      <w:r>
        <w:rPr>
          <w:color w:val="555555"/>
          <w:sz w:val="18"/>
        </w:rPr>
        <w:t xml:space="preserve">Gesetz zur Ausführung des Protokolls über Schadstofffreisetzungs- und -verbringungsregister vom 21. Mai 2003 sowie zur Durchführung der Verordnung (EG) Nr. 166/2006</w:t>
      </w:r>
    </w:p>
    <w:p>
      <w:r>
        <w:rPr>
          <w:color w:val="555555"/>
          <w:sz w:val="18"/>
        </w:rPr>
        <w:t xml:space="preserve">Stand: 15.12.2020 (konsolidierte Textfassung, kein amtliches Inkrafttretensdatum)</w:t>
      </w:r>
    </w:p>
    <w:p>
      <w:r>
        <w:t xml:space="preserve">Die Bußgeldvorschriften nach § 7 gelten ab dem Berichtsjahr 2020.</w:t>
      </w:r>
    </w:p>
    <w:p>
      <w:r>
        <w:rPr>
          <w:color w:val="555555"/>
          <w:sz w:val="17"/>
        </w:rPr>
        <w:t xml:space="preserve">Zitiervorschlag: § 9 SchadRegProtAG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https://recht.nulegal.eu/gesetze/SchadRegProtAG/9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