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SchadRegProtAG — Bestimmungen zum Verwaltungsverfahren</w:t>
      </w:r>
    </w:p>
    <w:p>
      <w:r>
        <w:rPr>
          <w:color w:val="555555"/>
          <w:sz w:val="18"/>
        </w:rPr>
        <w:t xml:space="preserve">Gesetz zur Ausführung des Protokolls über Schadstofffreisetzungs- und -verbringungsregister vom 21. Mai 2003 sowie zur Durchführung der Verordnung (EG) Nr. 166/2006</w:t>
      </w:r>
    </w:p>
    <w:p>
      <w:r>
        <w:rPr>
          <w:color w:val="555555"/>
          <w:sz w:val="18"/>
        </w:rPr>
        <w:t xml:space="preserve">Stand: 15.12.2020 (konsolidierte Textfassung, kein amtliches Inkrafttretensdatum)</w:t>
      </w:r>
    </w:p>
    <w:p>
      <w:r>
        <w:t xml:space="preserve">Von den in diesem Gesetz getroffenen Regelungen des Verwaltungsverfahrens kann nicht durch Landesrecht abgewichen werden.</w:t>
      </w:r>
    </w:p>
    <w:p>
      <w:r>
        <w:rPr>
          <w:color w:val="555555"/>
          <w:sz w:val="17"/>
        </w:rPr>
        <w:t xml:space="preserve">Zitiervorschlag: § 8 SchadRegProtAG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https://recht.nulegal.eu/gesetze/SchadRegProtAG/8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