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SchadRegProtAG — Bußgeldvorschriften</w:t>
      </w:r>
    </w:p>
    <w:p>
      <w:r>
        <w:rPr>
          <w:color w:val="555555"/>
          <w:sz w:val="18"/>
        </w:rPr>
        <w:t xml:space="preserve">Gesetz zur Ausführung des Protokolls über Schadstofffreisetzungs- und -verbringungsregister vom 21. Mai 2003 sowie zur Durchführung der Verordnung (EG) Nr. 166/2006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(1) Ordnungswidrig handelt, wer gegen die Verordnung (EG) Nr. 166/2006 des Europäischen Parlaments und des Rates vom 18. Januar 2006 über die Schaffung eines Europäischen Schadstofffreisetzungs- und -verbringungsregisters und zur Änderung der Richtlinien 91/689/EWG und 96/61/EG des Rates (ABl. L 33 vom 4.2.2006, S. 1), die zuletzt durch die Verordnung (EU) 2019/1243 (ABl. L 198 vom 25.7.2019, S. 241) geändert worden ist, verstößt, indem er vorsätzlich oder fahrlässig</w:t>
      </w:r>
    </w:p>
    <w:p>
      <w:pPr>
        <w:ind w:left="420"/>
      </w:pPr>
      <w:r>
        <w:t xml:space="preserve">1. entgegen Artikel 5 Absatz 1 Unterabsatz 1 oder 2, jeweils in Verbindung mit § 3 Absatz 2 Satz 1, eine Mitteilung nicht, nicht richtig, nicht vollständig oder nicht rechtzeitig macht oder</w:t>
      </w:r>
    </w:p>
    <w:p>
      <w:pPr>
        <w:ind w:left="420"/>
      </w:pPr>
      <w:r>
        <w:t xml:space="preserve">2. entgegen Artikel 5 Absatz 5 Satz 1 eine dort genannte Aufzeichnung nicht oder nicht mindestens fünf Jahre verfügbar hält.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7 SchadRegProtAG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https://recht.nulegal.eu/gesetze/SchadRegProtAG/7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