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SchadRegProtAG — Übermittlung der Informationen an die Europäische Kommission</w:t>
      </w:r>
    </w:p>
    <w:p>
      <w:r>
        <w:rPr>
          <w:color w:val="555555"/>
          <w:sz w:val="18"/>
        </w:rPr>
        <w:t xml:space="preserve">Gesetz zur Ausführung des Protokolls über Schadstofffreisetzungs- und -verbringungsregister vom 21. Mai 2003 sowie zur Durchführung der Verordnung (EG) Nr. 166/2006</w:t>
      </w:r>
    </w:p>
    <w:p>
      <w:r>
        <w:rPr>
          <w:color w:val="555555"/>
          <w:sz w:val="18"/>
        </w:rPr>
        <w:t xml:space="preserve">Stand: 15.12.2020 (konsolidierte Textfassung, kein amtliches Inkrafttretensdatum)</w:t>
      </w:r>
    </w:p>
    <w:p>
      <w:r>
        <w:t xml:space="preserve">Zuständig für die Durchführung von Artikel 7 Abs. 2 der Verordnung (EG) Nr. 166/2006 ist das Umweltbundesamt. Bei der Übermittlung gibt das Umweltbundesamt an, welche Informationen durch die nach Landesrecht zuständige Behörde als vertraulich beschieden wurden, und bezeichnet die Gründe, weshalb die Kommission diese Informationen der Öffentlichkeit nicht zugänglich machen soll.</w:t>
      </w:r>
    </w:p>
    <w:p>
      <w:r>
        <w:rPr>
          <w:color w:val="555555"/>
          <w:sz w:val="17"/>
        </w:rPr>
        <w:t xml:space="preserve">Zitiervorschlag: § 6 SchadRegProtAG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https://recht.nulegal.eu/gesetze/SchadRegProtAG/6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