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SchadRegProtAG — Informantenschutz</w:t>
      </w:r>
    </w:p>
    <w:p>
      <w:r>
        <w:rPr>
          <w:color w:val="555555"/>
          <w:sz w:val="18"/>
        </w:rPr>
        <w:t xml:space="preserve">Gesetz zur Ausführung des Protokolls über Schadstofffreisetzungs- und -verbringungsregister vom 21. Mai 2003 sowie zur Durchführung der Verordnung (EG) Nr. 166/2006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einer Betriebseinrichtung darf einen Betriebsangehörigen nicht benachteiligen, weil der Betriebsangehörige der zuständigen Behörde konkrete Anhaltspunkte für eine Verletzung einer Bestimmung dieses Gesetzes oder der Verordnung (EG) Nr. 166/2006 anzeigt.</w:t>
      </w:r>
    </w:p>
    <w:p>
      <w:r>
        <w:t xml:space="preserve">(2) Eine Behörde darf bei der Ausübung ihrer Zuständigkeiten niemanden benachteiligen, weil er ihr konkrete Anhaltspunkte für die Verletzung einer Bestimmung dieses Gesetzes oder der Verordnung (EG) Nr. 166/2006 anzeigt.</w:t>
      </w:r>
    </w:p>
    <w:p>
      <w:r>
        <w:rPr>
          <w:color w:val="555555"/>
          <w:sz w:val="17"/>
        </w:rPr>
        <w:t xml:space="preserve">Zitiervorschlag: § 4 SchadRegProtAG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https://recht.nulegal.eu/gesetze/SchadRegProtAG/4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