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SchadRegProtAG — Anwendungsbereich</w:t>
      </w:r>
    </w:p>
    <w:p>
      <w:r>
        <w:rPr>
          <w:color w:val="555555"/>
          <w:sz w:val="18"/>
        </w:rPr>
        <w:t xml:space="preserve">Gesetz zur Ausführung des Protokolls über Schadstofffreisetzungs- und -verbringungsregister vom 21. Mai 2003 sowie zur Durchführung der Verordnung (EG) Nr. 166/2006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Betriebseinrichtungen im Sinne von Artikel 2 Nr. 4 der Verordnung (EG) Nr. 166/2006 des Europäischen Parlaments und des Rates vom 18. Januar 2006 über die Schaffung eines Europäischen Schadstofffreisetzungs- und -verbringungsregisters und zur Änderung der Richtlinien 91/689/EWG und 96/61/EG des Rates (ABl. EU Nr. L 33 S. 1) in der jeweils geltenden Fassung, in denen eine oder mehrere der in Anhang I der Verordnung (EG) Nr. 166/2006 genannten Tätigkeiten ausgeübt werden.</w:t>
      </w:r>
    </w:p>
    <w:p>
      <w:r>
        <w:rPr>
          <w:color w:val="555555"/>
          <w:sz w:val="17"/>
        </w:rPr>
        <w:t xml:space="preserve">Zitiervorschlag: § 1 SchadRegProtAG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https://recht.nulegal.eu/gesetze/SchadRegProtAG/1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