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SchaEVZG — Gewährung einer staatlichen Vorauszahlung in besonderen Fällen</w:t>
      </w:r>
    </w:p>
    <w:p>
      <w:r>
        <w:rPr>
          <w:color w:val="555555"/>
          <w:sz w:val="18"/>
        </w:rPr>
        <w:t xml:space="preserve">Schadenersatzvorauszahlungsgesetz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Liegen die in den §§ 3 bis 6 genannten, nicht jedoch die nach diesem Gesetz weiterhin erforderlichen Voraussetzungen vor, kann dem geschädigten Bürger zur Vermeidung von Härten ausnahmsweise eine staatliche Vorauszahlung gewährt werden.</w:t>
      </w:r>
    </w:p>
    <w:p>
      <w:r>
        <w:t xml:space="preserve">(2) Die Entscheidung darüber trifft der Minister der Justiz.</w:t>
      </w:r>
    </w:p>
    <w:p>
      <w:r>
        <w:rPr>
          <w:color w:val="555555"/>
          <w:sz w:val="17"/>
        </w:rPr>
        <w:t xml:space="preserve">Zitiervorschlag: § 13 SchaEVZG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https://recht.nulegal.eu/gesetze/SchaEVZG/13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