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SchaEVZG — Antragsberechtigung</w:t>
      </w:r>
    </w:p>
    <w:p>
      <w:r>
        <w:rPr>
          <w:color w:val="555555"/>
          <w:sz w:val="18"/>
        </w:rPr>
        <w:t xml:space="preserve">Schadenersatzvorauszahlungsgesetz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Gewährung einer staatlichen Vorauszahlung erfolgt auf Antrag. Antragsberechtigt sind</w:t>
      </w:r>
    </w:p>
    <w:p>
      <w:pPr>
        <w:ind w:left="420"/>
      </w:pPr>
      <w:r>
        <w:t xml:space="preserve">- Staatsbürger der DDR,</w:t>
      </w:r>
    </w:p>
    <w:p>
      <w:pPr>
        <w:ind w:left="420"/>
      </w:pPr>
      <w:r>
        <w:t xml:space="preserve">- Ausländer mit zeitlich unbefristetem oder länger befristetem Aufenthalt in der DDR,</w:t>
      </w:r>
    </w:p>
    <w:p>
      <w:r>
        <w:t xml:space="preserve">die auf dem Staatsgebiet der Deutschen Demokratischen Republik durch eine Straftat geschädigt wurden.</w:t>
      </w:r>
    </w:p>
    <w:p>
      <w:r>
        <w:rPr>
          <w:color w:val="555555"/>
          <w:sz w:val="17"/>
        </w:rPr>
        <w:t xml:space="preserve">Zitiervorschlag: § 10 SchaEVZG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https://recht.nulegal.eu/gesetze/SchaEVZG/10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