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SchVG — Bestellung des gemeinsamen Vertreters in den Anleihebedingungen</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Ein gemeinsamer Vertreter der Gläubiger kann bereits in den Anleihebedingungen bestellt werden. Mitglieder des Vorstands, des Aufsichtsrats, des Verwaltungsrats oder eines ähnlichen Organs, Angestellte oder sonstige Mitarbeiter des Schuldners oder eines mit ihm verbundenen Unternehmens dürfen nicht bereits in den Anleihebedingungen als gemeinsamer Vertreter der Gläubiger bestellt werden. Ihre Bestellung ist nichtig. Dies gilt auch, wenn die in Satz 1 genannten Umstände nachträglich eintreten. Aus den in § 7 Absatz 1 Satz 2 Nummer 2 bis 4 genannten Personengruppen kann ein gemeinsamer Vertreter der Gläubiger bestellt werden, sofern in den Emissionsbedingungen die maßgeblichen Umstände offengelegt werden. Wenn solche Umstände nachträglich eintreten, gilt § 7 Absatz 1 Satz 3 entsprechend.</w:t>
      </w:r>
    </w:p>
    <w:p>
      <w:r>
        <w:t xml:space="preserve">(2) Mit der Bestellung ist der Umfang der Befugnisse des gemeinsamen Vertreters zu bestimmen. Zu einem Verzicht auf Rechte der Gläubiger, insbesondere zu den in § 5 Absatz 3 Satz 1 Nummer 1 bis 9 genannten Entscheidungen, kann der Vertreter nur auf Grund eines Beschlusses der Gläubigerversammlung ermächtigt werden. In diesen Fällen kann die Ermächtigung nur im Einzelfall erteilt werden.</w:t>
      </w:r>
    </w:p>
    <w:p>
      <w:r>
        <w:t xml:space="preserve">(3) In den Anleihebedingungen kann die Haftung des gemeinsamen Vertreters auf das Zehnfache seiner jährlichen Vergütung begrenzt werden, es sei denn, dem gemeinsamen Vertreter fällt Vorsatz oder grobe Fahrlässigkeit zur Last.</w:t>
      </w:r>
    </w:p>
    <w:p>
      <w:r>
        <w:t xml:space="preserve">(4) Für den in den Anleihebedingungen bestellten gemeinsamen Vertreter gilt § 7 Absatz 2 bis 6 entsprechend.</w:t>
      </w:r>
    </w:p>
    <w:p>
      <w:r>
        <w:rPr>
          <w:color w:val="555555"/>
          <w:sz w:val="17"/>
        </w:rPr>
        <w:t xml:space="preserve">Zitiervorschlag: § 8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