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SchVG — Übergangsbestimmungen</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Dieses Gesetz ist nicht anzuwenden auf Schuldverschreibungen, die vor dem 5. August 2009 ausgegeben wurden. Auf diese Schuldverschreibungen ist das Gesetz betreffend die gemeinsamen Rechte der Besitzer von Schuldverschreibungen in der im Bundesgesetzblatt Teil III, Gliederungsnummer 4134-1, veröffentlichten bereinigten Fassung, das zuletzt durch Artikel 53 des Gesetzes vom 5. Oktober 1994 (BGBl. I S. 2911) geändert worden ist, weiter anzuwenden, soweit sich aus Absatz 2 nichts anderes ergibt.</w:t>
      </w:r>
    </w:p>
    <w:p>
      <w:r>
        <w:t xml:space="preserve">(2) Gläubiger von Schuldverschreibungen, die vor dem 5. August 2009 ausgegeben wurden, können mit Zustimmung des Schuldners eine Änderung der Anleihebedingungen oder den Austausch der Schuldverschreibungen gegen neue Schuldverschreibungen mit geänderten Anleihebedingungen beschließen, um von den in diesem Gesetz gewährten Wahlmöglichkeiten Gebrauch machen zu können. Für die Beschlussfassung gelten die Vorschriften dieses Gesetzes entsprechend; der Beschluss bedarf der qualifizierten Mehrheit.</w:t>
      </w:r>
    </w:p>
    <w:p>
      <w:r>
        <w:rPr>
          <w:color w:val="555555"/>
          <w:sz w:val="17"/>
        </w:rPr>
        <w:t xml:space="preserve">Zitiervorschlag: § 24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