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SchVG — Bußgeldvorschriften</w:t>
      </w:r>
    </w:p>
    <w:p>
      <w:r>
        <w:rPr>
          <w:color w:val="555555"/>
          <w:sz w:val="18"/>
        </w:rPr>
        <w:t xml:space="preserve">Schuldverschreibungsgesetz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6 Absatz 1 Satz 3 erster Halbsatz Schuldverschreibungen überlässt,</w:t>
      </w:r>
    </w:p>
    <w:p>
      <w:pPr>
        <w:ind w:left="420"/>
      </w:pPr>
      <w:r>
        <w:t xml:space="preserve">2. entgegen § 6 Absatz 1 Satz 4 das Stimmrecht ausübt,</w:t>
      </w:r>
    </w:p>
    <w:p>
      <w:pPr>
        <w:ind w:left="420"/>
      </w:pPr>
      <w:r>
        <w:t xml:space="preserve">3. entgegen § 6 Absatz 2 einen Vorteil anbietet, verspricht oder gewährt oder</w:t>
      </w:r>
    </w:p>
    <w:p>
      <w:pPr>
        <w:ind w:left="420"/>
      </w:pPr>
      <w:r>
        <w:t xml:space="preserve">4. entgegen § 6 Absatz 3 einen Vorteil oder eine Gegenleistung fordert, sich versprechen lässt oder annimmt.</w:t>
      </w:r>
    </w:p>
    <w:p>
      <w:r>
        <w:t xml:space="preserve">(2) Ordnungswidrig handelt, wer vorsätzlich oder leichtfertig entgegen § 7 Absatz 1 Satz 2 einen maßgeblichen Umstand nicht, nicht richtig, nicht vollständig oder nicht rechtzeitig offenlegt.</w:t>
      </w:r>
    </w:p>
    <w:p>
      <w:r>
        <w:t xml:space="preserve">(3) Die Ordnungswidrigkeit kann mit einer Geldbuße bis zu hunderttausend Euro geahndet werden.</w:t>
      </w:r>
    </w:p>
    <w:p>
      <w:r>
        <w:rPr>
          <w:color w:val="555555"/>
          <w:sz w:val="17"/>
        </w:rPr>
        <w:t xml:space="preserve">Zitiervorschlag: § 23 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