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SchVG — Vollziehung von Beschlüssen</w:t>
      </w:r>
    </w:p>
    <w:p>
      <w:r>
        <w:rPr>
          <w:color w:val="555555"/>
          <w:sz w:val="18"/>
        </w:rPr>
        <w:t xml:space="preserve">Schuldverschreibungsgesetz</w:t>
      </w:r>
    </w:p>
    <w:p>
      <w:r>
        <w:rPr>
          <w:color w:val="555555"/>
          <w:sz w:val="18"/>
        </w:rPr>
        <w:t xml:space="preserve">Stand: 11.06.2021 (konsolidierte Textfassung, kein amtliches Inkrafttretensdatum)</w:t>
      </w:r>
    </w:p>
    <w:p>
      <w:r>
        <w:t xml:space="preserve">(1) Beschlüsse der Gläubigerversammlung, durch welche der Inhalt der Anleihebedingungen abgeändert oder ergänzt wird, sind in der Weise zu vollziehen, dass die maßgebliche Sammelurkunde ergänzt oder geändert wird. Im Fall der Verwahrung der Sammelkurkunde durch eine Wertpapiersammelbank hat der Versammlungs- oder Abstimmungsleiter dazu den in der Niederschrift dokumentierten Beschlussinhalt an die Wertpapiersammelbank zu übermitteln mit dem Ersuchen, die eingereichten Dokumente den vorhandenen Dokumenten in geeigneter Form beizufügen. Er hat gegenüber der Wertpapiersammelbank zu versichern, dass der Beschluss vollzogen werden darf.</w:t>
      </w:r>
    </w:p>
    <w:p>
      <w:r>
        <w:t xml:space="preserve">(2) Bei einer elektronisch begebenen Schuldverschreibung sind Beschlüsse der Gläubigerversammlung, durch die der Inhalt der Anleihebedingungen abgeändert oder ergänzt wird, in der Weise zu vollziehen, dass die bei der registerführenden Stelle zugänglichen Anleihebedingungen, auf die die Eintragung im Wertpapierregister Bezug nimmt, ergänzt oder geändert werden. Tag und Uhrzeit der Änderung oder Ergänzung sind anzugeben. Der Versammlungs- oder Abstimmungsleiter hat dazu den in der Niederschrift dokumentierten Beschlussinhalt an die registerführende Stelle zu übermitteln mit dem Ersuchen, die eingereichten Dokumente den vorhandenen Dokumenten in geeigneter Form beizufügen. Er hat gegenüber der registerführenden Stelle zu versichern, dass der Beschluss vollzogen werden darf.</w:t>
      </w:r>
    </w:p>
    <w:p>
      <w:r>
        <w:t xml:space="preserve">(3) Der gemeinsame Vertreter darf von der ihm durch Beschluss erteilten Vollmacht oder Ermächtigung keinen Gebrauch machen, solange der zugrunde liegende Beschluss noch nicht vollzogen werden darf.</w:t>
      </w:r>
    </w:p>
    <w:p>
      <w:r>
        <w:rPr>
          <w:color w:val="555555"/>
          <w:sz w:val="17"/>
        </w:rPr>
        <w:t xml:space="preserve">Zitiervorschlag: § 21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