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SchVG — Anfechtung von Beschlüssen</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Ein Beschluss der Gläubiger kann wegen Verletzung des Gesetzes oder der Anleihebedingungen durch Klage angefochten werden. Wegen unrichtiger, unvollständiger oder verweigerter Erteilung von Informationen kann ein Beschluss der Gläubiger nur angefochten werden, wenn ein objektiv urteilender Gläubiger die Erteilung der Information als wesentliche Voraussetzung für sein Abstimmungsverhalten angesehen hätte. Die Anfechtung kann nicht auf die durch eine technische Störung verursachte Verletzung von Rechten, die nach § 18 auf elektronischem Wege wahrgenommen worden sind, gestützt werden, es sei denn, dem Schuldner ist grobe Fahrlässigkeit oder Vorsatz vorzuwerfen.</w:t>
      </w:r>
    </w:p>
    <w:p>
      <w:r>
        <w:t xml:space="preserve">(2) Zur Anfechtung ist befugt</w:t>
      </w:r>
    </w:p>
    <w:p>
      <w:pPr>
        <w:ind w:left="420"/>
      </w:pPr>
      <w:r>
        <w:t xml:space="preserve">1. jeder Gläubiger, der an der Abstimmung teilgenommen und gegen den Beschluss fristgerecht Widerspruch erklärt hat, sofern er die Schuldverschreibung vor der Bekanntmachung der Einberufung der Gläubigerversammlung oder vor der Aufforderung zur Stimmabgabe in einer Abstimmung ohne Versammlung erworben hatte;</w:t>
      </w:r>
    </w:p>
    <w:p>
      <w:pPr>
        <w:ind w:left="420"/>
      </w:pPr>
      <w:r>
        <w:t xml:space="preserve">2. jeder Gläubiger, der an der Abstimmung nicht teilgenommen hat, wenn er zur Abstimmung zu Unrecht nicht zugelassen worden ist oder wenn die Versammlung nicht ordnungsgemäß einberufen oder zur Stimmabgabe nicht ordnungsgemäß aufgefordert worden ist oder wenn ein Gegenstand der Beschlussfassung nicht ordnungsgemäß bekannt gemacht worden ist.</w:t>
      </w:r>
    </w:p>
    <w:p>
      <w:r>
        <w:t xml:space="preserve">(3) Die Klage ist binnen eines Monats nach der Bekanntmachung des Beschlusses zu erheben. Sie ist gegen den Schuldner zu richten. Zuständig für die Klage ist bei einem Schuldner mit Sitz im Inland ausschließlich das Landgericht, in dessen Bezirk der Schuldner seinen Sitz hat, oder mangels eines Sitzes im Inland das Landgericht Frankfurt am Main; § 246 Absatz 3 Satz 2 bis 6 des Aktiengesetzes gilt entsprechend. Vor einer rechtskräftigen Entscheidung des Gerichts darf der angefochtene Beschluss nicht vollzogen werden, es sei denn, ein Senat des dem nach Satz 3 zuständigen Gericht im zuständigen Rechtszug übergeordneten Oberlandesgerichts stellt auf Antrag des Schuldners nach Maßgabe des § 246a des Aktiengesetzes fest, dass die Erhebung der Klage dem Vollzug des angefochtenen Beschlusses nicht entgegensteht; § 246a Absatz 1 Satz 1 und 2, Absatz 2 und 3 Satz 1 bis 4 und 6, Absatz 4 des Aktiengesetzes gilt entsprechend.</w:t>
      </w:r>
    </w:p>
    <w:p>
      <w:r>
        <w:rPr>
          <w:color w:val="555555"/>
          <w:sz w:val="17"/>
        </w:rPr>
        <w:t xml:space="preserve">Zitiervorschlag: § 20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