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SchVG — Anleihebedingungen</w:t>
      </w:r>
    </w:p>
    <w:p>
      <w:r>
        <w:rPr>
          <w:color w:val="555555"/>
          <w:sz w:val="18"/>
        </w:rPr>
        <w:t xml:space="preserve">Schuldverschreibungsgesetz</w:t>
      </w:r>
    </w:p>
    <w:p>
      <w:r>
        <w:rPr>
          <w:color w:val="555555"/>
          <w:sz w:val="18"/>
        </w:rPr>
        <w:t xml:space="preserve">Stand: 11.06.2021 (konsolidierte Textfassung, kein amtliches Inkrafttretensdatum)</w:t>
      </w:r>
    </w:p>
    <w:p>
      <w:r>
        <w:t xml:space="preserve">(1) Die Bedingungen zur Beschreibung der Leistung sowie der Rechte und Pflichten des Schuldners und der Gläubiger (Anleihebedingungen) müssen sich vorbehaltlich von Satz 2 aus der Urkunde ergeben. Ist die Urkunde nicht zum Umlauf bestimmt, kann in ihr auch auf außerhalb der Urkunde niedergelegte Anleihebedingungen Bezug genommen werden. Änderungen des Inhalts der Urkunde oder der Anleihebedingungen nach Abschnitt 2 dieses Gesetzes werden erst wirksam, wenn sie in der Urkunde oder in den Anleihebedingungen vollzogen worden sind.</w:t>
      </w:r>
    </w:p>
    <w:p>
      <w:r>
        <w:t xml:space="preserve">(2) Bei einer elektronisch begebenen Schuldverschreibung müssen die Anleihebedingungen bei der registerführenden Stelle des Wertpapierregisters, in dem die Schuldverschreibung eingetragen ist, zugänglich sein. Änderungen des Inhalts der Anleihebedingungen nach Abschnitt 2 dieses Gesetzes werden erst wirksam, wenn sie in den bei der registerführenden Stelle zugänglichen Anleihebedingungen vollzogen worden sind.</w:t>
      </w:r>
    </w:p>
    <w:p>
      <w:r>
        <w:rPr>
          <w:color w:val="555555"/>
          <w:sz w:val="17"/>
        </w:rPr>
        <w:t xml:space="preserve">Zitiervorschlag: § 2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