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SchVG — Bekanntmachung von Beschlüssen</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Der Schuldner hat die Beschlüsse der Gläubiger auf seine Kosten in geeigneter Form öffentlich bekannt zu machen. Hat der Schuldner seinen Sitz im Inland, so sind die Beschlüsse unverzüglich im Bundesanzeiger zu veröffentlichen; die nach § 50 Absatz 1 des Wertpapierhandelsgesetzes vorgeschriebene Veröffentlichung ist jedoch ausreichend. Die Anleihebedingungen können zusätzliche Formen der öffentlichen Bekanntmachung vorsehen.</w:t>
      </w:r>
    </w:p>
    <w:p>
      <w:r>
        <w:t xml:space="preserve">(2) Außerdem hat der Schuldner die Beschlüsse der Gläubiger sowie, wenn ein Gläubigerbeschluss die Anleihebedingungen ändert, den Wortlaut der ursprünglichen Anleihebedingungen vom Tag nach der Gläubigerversammlung an für die Dauer von mindestens einem Monat im Internet unter seiner Adresse oder, wenn eine solche nicht vorhanden ist, unter der in den Anleihebedingungen festgelegten Internetseite der Öffentlichkeit zugänglich zu machen.</w:t>
      </w:r>
    </w:p>
    <w:p>
      <w:r>
        <w:rPr>
          <w:color w:val="555555"/>
          <w:sz w:val="17"/>
        </w:rPr>
        <w:t xml:space="preserve">Zitiervorschlag: § 17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