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SchVG — Vertretung</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Jeder Gläubiger kann sich in der Gläubigerversammlung durch einen Bevollmächtigten vertreten lassen. Hierauf ist in der Einberufung der Gläubigerversammlung hinzuweisen. In der Einberufung ist auch anzugeben, welche Voraussetzungen erfüllt sein müssen, um eine wirksame Vertretung zu gewährleisten.</w:t>
      </w:r>
    </w:p>
    <w:p>
      <w:r>
        <w:t xml:space="preserve">(2) Die Vollmacht und Weisungen des Vollmachtgebers an den Vertreter bedürfen der Textform. Wird ein vom Schuldner benannter Stimmrechtsvertreter bevollmächtigt, so ist die Vollmachtserklärung vom Schuldner drei Jahre nachprüfbar festzuhalten.</w:t>
      </w:r>
    </w:p>
    <w:p>
      <w:r>
        <w:rPr>
          <w:color w:val="555555"/>
          <w:sz w:val="17"/>
        </w:rPr>
        <w:t xml:space="preserve">Zitiervorschlag: § 14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