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SchVG — Tagesordnung</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Zu jedem Gegenstand, über den die Gläubigerversammlung beschließen soll, hat der Einberufende in der Tagesordnung einen Vorschlag zur Beschlussfassung zu machen.</w:t>
      </w:r>
    </w:p>
    <w:p>
      <w:r>
        <w:t xml:space="preserve">(2) Die Tagesordnung der Gläubigerversammlung ist mit der Einberufung bekannt zu machen. § 12 Absatz 2 und 3 gilt entsprechend. Über Gegenstände der Tagesordnung, die nicht in der vorgeschriebenen Weise bekannt gemacht sind, dürfen Beschlüsse nicht gefasst werden.</w:t>
      </w:r>
    </w:p>
    <w:p>
      <w:r>
        <w:t xml:space="preserve">(3) Gläubiger, deren Schuldverschreibungen zusammen 5 Prozent der ausstehenden Schuldverschreibungen erreichen, können verlangen, dass neue Gegenstände zur Beschlussfassung bekannt gemacht werden; § 9 Absatz 2 bis 4 gilt entsprechend. Diese neuen Gegenstände müssen spätestens am dritten Tag vor der Gläubigerversammlung bekannt gemacht sein.</w:t>
      </w:r>
    </w:p>
    <w:p>
      <w:r>
        <w:t xml:space="preserve">(4) Gegenanträge, die ein Gläubiger vor der Versammlung angekündigt hat, muss der Schuldner unverzüglich bis zum Tag der Gläubigerversammlung im Internet unter seiner Adresse oder, wenn eine solche nicht vorhanden ist, unter der in den Anleihebedingungen festgelegten Internetseite den Gläubigern zugänglich machen.</w:t>
      </w:r>
    </w:p>
    <w:p>
      <w:r>
        <w:rPr>
          <w:color w:val="555555"/>
          <w:sz w:val="17"/>
        </w:rPr>
        <w:t xml:space="preserve">Zitiervorschlag: § 13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